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678"/>
        <w:gridCol w:w="1976"/>
        <w:gridCol w:w="3246"/>
        <w:gridCol w:w="2237"/>
      </w:tblGrid>
      <w:tr w:rsidR="005B79C0" w:rsidRPr="005B79C0" w14:paraId="7DFEF3FF" w14:textId="77777777" w:rsidTr="00177DDF">
        <w:trPr>
          <w:gridAfter w:val="1"/>
          <w:wAfter w:w="1029" w:type="pct"/>
        </w:trPr>
        <w:tc>
          <w:tcPr>
            <w:tcW w:w="2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7A3C2E">
        <w:trPr>
          <w:gridAfter w:val="1"/>
          <w:wAfter w:w="1029" w:type="pct"/>
        </w:trPr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30085022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252AA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10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5824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märts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6A2EB7" w14:paraId="152B475D" w14:textId="77777777" w:rsidTr="009E0EB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6A2EB7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66DF4A9" w14:textId="56DF1A7E" w:rsidR="00BC6210" w:rsidRPr="006A2EB7" w:rsidRDefault="00BC6210" w:rsidP="007362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4BCF706" w14:textId="77777777" w:rsidR="00BC6210" w:rsidRPr="006A2EB7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A2EB7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6A2EB7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6A2EB7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6A2EB7" w14:paraId="418C77B5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85AC3" w14:textId="24296CE8" w:rsidR="0061532E" w:rsidRPr="006A2EB7" w:rsidRDefault="00252AA9" w:rsidP="0061532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  <w:r w:rsidR="0088083C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VM</w:t>
            </w:r>
            <w:r w:rsidR="0031604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JDM</w:t>
            </w:r>
          </w:p>
          <w:p w14:paraId="7163E7E8" w14:textId="2A270A6E" w:rsidR="00582427" w:rsidRPr="006A2EB7" w:rsidRDefault="00252AA9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Riigiabi, ELTL artiklid 107 ja 108</w:t>
            </w:r>
            <w:r w:rsidR="00880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k</w:t>
            </w:r>
            <w:r w:rsidR="0088083C" w:rsidRPr="00880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ahepoolne investeerimisleping</w:t>
            </w:r>
            <w:r w:rsidR="00880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v</w:t>
            </w:r>
            <w:r w:rsidR="0088083C" w:rsidRPr="00880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ahekohtuklausel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="00880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</w:t>
            </w:r>
            <w:r w:rsidR="00880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kaebus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05109E51" w:rsidR="00D1456C" w:rsidRPr="006A2EB7" w:rsidRDefault="007D383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hyperlink r:id="rId6" w:history="1"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C-890/24 P: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European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Food SA,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Starmill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SRLi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Multipack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SRLi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Scandic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Distilleries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 SA ja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Ioan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Micula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19. detsembril 2024 esitatud apellatsioonkaebus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2. oktoobri 2024. aasta otsuse peale liidetud kohtuasjades T-624/15 RENV, T-694/15 RENV ja T-704/15 RENV: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European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Food jt versus komisjon</w:t>
              </w:r>
            </w:hyperlink>
          </w:p>
          <w:p w14:paraId="31459F8F" w14:textId="07B4ACA1" w:rsidR="00D1456C" w:rsidRPr="006A2EB7" w:rsidRDefault="00D1456C" w:rsidP="00BE2032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5BD90CA6" w:rsidR="00656D32" w:rsidRPr="006A2EB7" w:rsidRDefault="00A12A17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C/2025/</w:t>
            </w:r>
            <w:r w:rsidR="00582427"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1</w:t>
            </w:r>
            <w:r w:rsidR="00252AA9"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411</w:t>
            </w:r>
          </w:p>
          <w:p w14:paraId="79F02D4A" w14:textId="0E065ABC" w:rsidR="00656D32" w:rsidRPr="006A2EB7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6A2EB7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D1456C" w:rsidRPr="006A2EB7" w14:paraId="6B554F33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E61F6" w14:textId="2DFDC198" w:rsidR="00252AA9" w:rsidRPr="006A2EB7" w:rsidRDefault="00252AA9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  <w:r w:rsidR="0088083C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VM</w:t>
            </w:r>
            <w:r w:rsidR="0031604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JDM</w:t>
            </w:r>
          </w:p>
          <w:p w14:paraId="5896017D" w14:textId="5F949554" w:rsidR="00582427" w:rsidRPr="006A2EB7" w:rsidRDefault="0088083C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Riigiabi, ELTL artiklid 107 ja 108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k</w:t>
            </w:r>
            <w:r w:rsidRPr="00880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ahepoolne investeerimisleping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v</w:t>
            </w:r>
            <w:r w:rsidRPr="0088083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ahekohtuklausel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apellatsioon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kaebus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C4012A" w14:textId="3DAE80C2" w:rsidR="00D1456C" w:rsidRPr="006A2EB7" w:rsidRDefault="007D383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C-891/24 P: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Viorel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Micula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European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Drinks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SA,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Rieni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Drinks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SA,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Transilvania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General Import-Export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SRLi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ja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West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Leasing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SRLi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19. detsembril 2024 esitatud apellatsioonkaebus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(teine koda laiendatud koosseisus) 2. oktoobri 2024. aasta otsuse peale liidetud kohtuasjades T-624/15 RENV, T-694/15 RENV ja T-704/15 RENV: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European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Food jt versus komisjon</w:t>
              </w:r>
            </w:hyperlink>
          </w:p>
          <w:p w14:paraId="336D5930" w14:textId="77777777" w:rsidR="00D1456C" w:rsidRPr="006A2EB7" w:rsidRDefault="00D1456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503515F" w14:textId="48E3D28F" w:rsidR="00D1456C" w:rsidRPr="006A2EB7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DC1D0C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252AA9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412</w:t>
            </w:r>
          </w:p>
        </w:tc>
      </w:tr>
      <w:tr w:rsidR="00D1456C" w:rsidRPr="006A2EB7" w14:paraId="047F3F46" w14:textId="77777777" w:rsidTr="00D76C48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1C1FC" w14:textId="1DD14F4F" w:rsidR="00DC1D0C" w:rsidRPr="006A2EB7" w:rsidRDefault="00252AA9" w:rsidP="00DC1D0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VM, </w:t>
            </w:r>
            <w:r w:rsidR="0031604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SOM</w:t>
            </w: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31604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MKM</w:t>
            </w:r>
          </w:p>
          <w:p w14:paraId="30A83CCA" w14:textId="0B2DFC74" w:rsidR="004C3D16" w:rsidRPr="006A2EB7" w:rsidRDefault="00252AA9" w:rsidP="00252AA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Direktiivist 2006/123/EÜ (teenused siseturul) tulenevate kohustuste rikkumine, sotsiaalsete teenuste piiriülene osutamine, rikkumismenetlus.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0CEF9" w14:textId="1EF1D71B" w:rsidR="00D1456C" w:rsidRPr="006A2EB7" w:rsidRDefault="007D383D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8" w:history="1">
              <w:r w:rsidR="00252AA9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C-25/25: 17. jaanuaril 2025 esitatud hagi – Euroopa Komisjon versus Bulgaaria Vabariik</w:t>
              </w:r>
            </w:hyperlink>
          </w:p>
          <w:p w14:paraId="08810C23" w14:textId="3DF80888" w:rsidR="00D1456C" w:rsidRPr="006A2EB7" w:rsidRDefault="00D1456C" w:rsidP="00E70AC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9BB60D9" w14:textId="58499543" w:rsidR="00D1456C" w:rsidRPr="006A2EB7" w:rsidRDefault="000A4BB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DC1D0C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252AA9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413</w:t>
            </w:r>
          </w:p>
        </w:tc>
      </w:tr>
      <w:tr w:rsidR="00D3307A" w:rsidRPr="006A2EB7" w14:paraId="0779FB33" w14:textId="77777777" w:rsidTr="009F5036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824809" w14:textId="208C1C19" w:rsidR="00041E30" w:rsidRPr="006A2EB7" w:rsidRDefault="00041E30" w:rsidP="003815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72958E" w14:textId="18A94F1B" w:rsidR="003815AD" w:rsidRPr="006A2EB7" w:rsidRDefault="003815AD" w:rsidP="002A7B03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E06B1C" w14:textId="3116A414" w:rsidR="00D3307A" w:rsidRPr="006A2EB7" w:rsidRDefault="00D3307A" w:rsidP="005769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0D0183" w:rsidRPr="006A2EB7" w14:paraId="528459F8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5ED903" w14:textId="3439B632" w:rsidR="00856811" w:rsidRPr="006A2EB7" w:rsidRDefault="0037368C" w:rsidP="0085681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</w:t>
            </w:r>
            <w:r w:rsidR="00001B3D"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MKM</w:t>
            </w:r>
          </w:p>
          <w:p w14:paraId="756BC664" w14:textId="7E0FE3C1" w:rsidR="0075503D" w:rsidRPr="006A2EB7" w:rsidRDefault="00252AA9" w:rsidP="007550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Tarbijakaitse</w:t>
            </w:r>
            <w:r w:rsidR="0037368C"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ined, mille kasutamine on keelatud või piiratud, või ained, mis on liidus 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uurimisel/kontrollimisel</w:t>
            </w:r>
            <w:r w:rsidR="0037368C"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m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äärus (EÜ) nr 1925/2006</w:t>
            </w:r>
            <w:r w:rsidR="006A430D"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s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elliste perekonda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Aloe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kuuluvate liikide lehtedest saadud preparaatide keelustamine, mis sisaldavad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hüdroksüantratseeni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derivaate</w:t>
            </w:r>
            <w:r w:rsidR="006A430D"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A6E835" w14:textId="5DE011B8" w:rsidR="000D0183" w:rsidRPr="006A2EB7" w:rsidRDefault="007D383D" w:rsidP="009C6AA4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9" w:history="1">
              <w:r w:rsidR="00252AA9"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Kohtuasi C-38/25 P: Euroopa Komisjoni 22. jaanuaril 2025 esitatud apellatsioonkaebus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(kuues koda laiendatud koosseisus) 13. novembri 2024. aasta otsuse peale </w:t>
              </w:r>
              <w:r w:rsidR="00252AA9"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 xml:space="preserve">kohtuasjas T-189/21: </w:t>
              </w:r>
              <w:proofErr w:type="spellStart"/>
              <w:r w:rsidR="00252AA9"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Aloe</w:t>
              </w:r>
              <w:proofErr w:type="spellEnd"/>
              <w:r w:rsidR="00252AA9"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 Vera of Europe versus komisjon</w:t>
              </w:r>
            </w:hyperlink>
          </w:p>
          <w:p w14:paraId="18271917" w14:textId="7302C66B" w:rsidR="009032BF" w:rsidRPr="006A2EB7" w:rsidRDefault="009032BF" w:rsidP="005808A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FA470C" w14:textId="21252E1D" w:rsidR="000D0183" w:rsidRPr="006A2EB7" w:rsidRDefault="00501B50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C/2025/</w:t>
            </w:r>
            <w:r w:rsidR="00856811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252AA9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414</w:t>
            </w:r>
          </w:p>
        </w:tc>
      </w:tr>
      <w:tr w:rsidR="000D0183" w:rsidRPr="006A2EB7" w14:paraId="3CEF3039" w14:textId="77777777" w:rsidTr="009C6AA4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2CDACF" w14:textId="7D9241F3" w:rsidR="00D77838" w:rsidRPr="006A2EB7" w:rsidRDefault="00D77838" w:rsidP="00BC43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32ABE" w14:textId="57E5FE4E" w:rsidR="00F847C2" w:rsidRPr="006A2EB7" w:rsidRDefault="00F847C2" w:rsidP="006A430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1B71F2" w14:textId="6EF90814" w:rsidR="000D0183" w:rsidRPr="006A2EB7" w:rsidRDefault="000D0183" w:rsidP="009C6AA4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A1B92" w:rsidRPr="006A2EB7" w14:paraId="66620E7E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AC5EC6" w14:textId="7037D106" w:rsidR="001A1B92" w:rsidRPr="006A2EB7" w:rsidRDefault="006A430D" w:rsidP="001A1B9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</w:t>
            </w:r>
            <w:r w:rsidR="0063794A"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B919B2"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0A35D858" w14:textId="77777777" w:rsidR="006A430D" w:rsidRPr="006A2EB7" w:rsidRDefault="006A430D" w:rsidP="006A430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Direktiivist 91/676/EMÜ (veekogude kaitsmise kohta põllumajandusest lähtuva nitraadireostuse eest) tulenevate kohustuste rikkumine, rikkumismenetlus.</w:t>
            </w:r>
          </w:p>
          <w:p w14:paraId="2E4A060D" w14:textId="30BAD2CD" w:rsidR="006A430D" w:rsidRPr="006A2EB7" w:rsidRDefault="006A430D" w:rsidP="006A430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6DC4A" w14:textId="00F51A96" w:rsidR="001A1B92" w:rsidRPr="006A2EB7" w:rsidRDefault="007D383D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0" w:history="1">
              <w:r w:rsidR="006A430D"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C-45/25: 24. jaanuaril 2025 esitatud hagi – Euroopa Komisjon versus Belgia Kuningriik</w:t>
              </w:r>
            </w:hyperlink>
          </w:p>
          <w:p w14:paraId="15CDEC3C" w14:textId="77777777" w:rsidR="001A1B92" w:rsidRPr="006A2EB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EC7C1C" w14:textId="29BD482E" w:rsidR="001A1B92" w:rsidRPr="006A2EB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F847C2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6A430D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415</w:t>
            </w:r>
          </w:p>
        </w:tc>
      </w:tr>
      <w:tr w:rsidR="001A1B92" w:rsidRPr="006A2EB7" w14:paraId="2D2D7CED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19F21D" w14:textId="6EC2CDC0" w:rsidR="0063794A" w:rsidRPr="006A2EB7" w:rsidRDefault="0063794A" w:rsidP="0063794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</w:t>
            </w:r>
            <w:r w:rsidR="00B919B2"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EM, </w:t>
            </w:r>
            <w:r w:rsidR="00001B3D"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MKM</w:t>
            </w:r>
          </w:p>
          <w:p w14:paraId="4B3BE58B" w14:textId="1B7B3554" w:rsidR="003B703B" w:rsidRPr="006A2EB7" w:rsidRDefault="00001B3D" w:rsidP="00001B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arbijakaitse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ined, mille kasutamine on keelatud või piiratud, või ained, mis on liidus uurimisel/kontrollimisel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m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äärus (EÜ) nr 1925/2006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h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üdroksüantratseeni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derivaate sisaldavate teatud ainete ja preparaatide keelustamine ja uurimisele/kontrollimisele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võtmine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apellatsioonkaebus.</w:t>
            </w:r>
          </w:p>
          <w:p w14:paraId="68E2161D" w14:textId="744D0EC1" w:rsidR="00001B3D" w:rsidRPr="006A2EB7" w:rsidRDefault="00001B3D" w:rsidP="00774E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7741E8" w14:textId="20344297" w:rsidR="001A1B92" w:rsidRPr="006A2EB7" w:rsidRDefault="00774E0B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1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C-48/25 P: Euroopa Komisjoni 24. jaanuaril 2025 esitatud apellatsioonkaebus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(kuues koda laiendatud koosseisus) 13. novembri 2024. aasta otsuse peale kohtuasjas T-302/21: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Aboca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  <w:p w14:paraId="3D9C8BEC" w14:textId="77777777" w:rsidR="001A1B92" w:rsidRPr="006A2EB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4C616B2D" w14:textId="77777777" w:rsidR="00E72FEB" w:rsidRPr="006A2EB7" w:rsidRDefault="00E72FEB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13D97721" w14:textId="77777777" w:rsidR="00E72FEB" w:rsidRPr="006A2EB7" w:rsidRDefault="00E72FEB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3A000493" w14:textId="77777777" w:rsidR="00E72FEB" w:rsidRPr="006A2EB7" w:rsidRDefault="00E72FEB" w:rsidP="00E72FE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6A2EB7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val="single"/>
              </w:rPr>
              <w:t>Üldkohus</w:t>
            </w:r>
            <w:proofErr w:type="spellEnd"/>
          </w:p>
          <w:p w14:paraId="2E284649" w14:textId="5F32C6C3" w:rsidR="00E72FEB" w:rsidRPr="006A2EB7" w:rsidRDefault="00E72FEB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1D32AA" w14:textId="50C8597D" w:rsidR="001A1B92" w:rsidRPr="006A2EB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63794A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774E0B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416</w:t>
            </w:r>
          </w:p>
        </w:tc>
      </w:tr>
      <w:tr w:rsidR="001A1B92" w:rsidRPr="006A2EB7" w14:paraId="6412DADF" w14:textId="77777777" w:rsidTr="00D84CE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981526" w14:textId="77777777" w:rsidR="005D019A" w:rsidRPr="006A2EB7" w:rsidRDefault="005D019A" w:rsidP="005D019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E704AEB" w14:textId="5B428608" w:rsidR="005D019A" w:rsidRPr="006A2EB7" w:rsidRDefault="00C62680" w:rsidP="005D019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Euroopa Parlamendi esindajat</w:t>
            </w: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e ametisse nimetamine, </w:t>
            </w:r>
            <w:r w:rsidR="00E558FC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Euroopa Parlamendi delegatsioonide otsused, mis tehti parlamendi kümnenda</w:t>
            </w: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E558FC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2024/2029 koosseisu avaistungi avaistungjärkudel, kus valiti iga delegatsiooni juhatus erinevate hääletussüsteemide abil,</w:t>
            </w: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tühistamishagi.</w:t>
            </w:r>
          </w:p>
          <w:p w14:paraId="35F365FD" w14:textId="4F18327C" w:rsidR="005D019A" w:rsidRPr="006A2EB7" w:rsidRDefault="005D019A" w:rsidP="005D019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9C65C3" w14:textId="2E925056" w:rsidR="001A1B92" w:rsidRPr="006A2EB7" w:rsidRDefault="00C62680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2" w:history="1">
              <w:r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 xml:space="preserve">Kohtuasi T-623/24: 2. detsembril 2024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Bardella</w:t>
              </w:r>
              <w:proofErr w:type="spellEnd"/>
              <w:r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 jt versus parlament</w:t>
              </w:r>
            </w:hyperlink>
          </w:p>
          <w:p w14:paraId="6BF8D549" w14:textId="77777777" w:rsidR="001A1B92" w:rsidRPr="006A2EB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41B3D7E" w14:textId="2C0745F3" w:rsidR="001A1B92" w:rsidRPr="006A2EB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5D019A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62680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434</w:t>
            </w:r>
          </w:p>
        </w:tc>
      </w:tr>
      <w:tr w:rsidR="001A1B92" w:rsidRPr="006A2EB7" w14:paraId="6765C284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88A10F" w14:textId="6AB14209" w:rsidR="005D019A" w:rsidRPr="006A2EB7" w:rsidRDefault="00C62680" w:rsidP="005D019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RAM, SIM</w:t>
            </w:r>
          </w:p>
          <w:p w14:paraId="252D4CE7" w14:textId="1112A7C9" w:rsidR="00C62680" w:rsidRPr="006A2EB7" w:rsidRDefault="00C62680" w:rsidP="00C626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Hankemenetlus,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Frontexi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otsus, millega jäeti hagejaga sõlmimata leping hankemenetluses FRONTEX/CD/1217/2021/RS – FRONTEX Permanent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Premises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7C38E01D" w14:textId="51903AD1" w:rsidR="00C62680" w:rsidRPr="006A2EB7" w:rsidRDefault="00C62680" w:rsidP="00C626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FAB405" w14:textId="75D5736B" w:rsidR="001A1B92" w:rsidRPr="006A2EB7" w:rsidRDefault="00C62680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T-658/24: 18. detsembril 2024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Warbud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Frontex</w:t>
              </w:r>
              <w:proofErr w:type="spellEnd"/>
            </w:hyperlink>
          </w:p>
          <w:p w14:paraId="28D8E47B" w14:textId="77777777" w:rsidR="001A1B92" w:rsidRPr="006A2EB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74B21059" w:rsidR="001A1B92" w:rsidRPr="006A2EB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5D019A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62680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436</w:t>
            </w:r>
          </w:p>
        </w:tc>
      </w:tr>
      <w:tr w:rsidR="001A1B92" w:rsidRPr="006A2EB7" w14:paraId="61AD5DD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1FCDC25" w14:textId="157E2B26" w:rsidR="002E1836" w:rsidRPr="006A2EB7" w:rsidRDefault="00976F18" w:rsidP="002E183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0" w:name="_Hlk190780172"/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REM, KLIM</w:t>
            </w:r>
          </w:p>
          <w:p w14:paraId="1097CAC2" w14:textId="4331AB41" w:rsidR="002B3670" w:rsidRPr="006A2EB7" w:rsidRDefault="00C62680" w:rsidP="00C626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Komisjoni 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otsus, millega jäeti rahuldamata vaie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Århusi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määruse alusel seoses komisjoni rakendus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-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määrusega (EL) 2024/1382, millega pikendatakse erandit nõukogu määrusest (EÜ) 1967/2006, mis käsitleb kalapüügi keeldu kaitsealustes elupaikades ning väikseimat kaugust kaldast ja väikseimat sügavust traalerite puhul, mis on varustatud „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gangui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“ nootadega ja mis püüavad kala Prantsusmaa teatavates territoriaalvetes (Provence-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Alpes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-Côte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d’Azur</w:t>
            </w:r>
            <w:proofErr w:type="spellEnd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)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6326CCB4" w14:textId="075CDD05" w:rsidR="00C62680" w:rsidRPr="006A2EB7" w:rsidRDefault="00C62680" w:rsidP="00C6268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8811FF" w14:textId="7ADACABA" w:rsidR="001A1B92" w:rsidRPr="006A2EB7" w:rsidRDefault="00C62680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T-659/24: 18. detsembril 2024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Bloom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1927401A" w14:textId="77777777" w:rsidR="001A1B92" w:rsidRPr="006A2EB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7BB9A518" w:rsidR="001A1B92" w:rsidRPr="006A2EB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44DEF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C62680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437</w:t>
            </w:r>
          </w:p>
        </w:tc>
      </w:tr>
      <w:tr w:rsidR="001A1B92" w:rsidRPr="006A2EB7" w14:paraId="55B4C926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4B752B" w14:textId="1409F477" w:rsidR="00844DEF" w:rsidRPr="006A2EB7" w:rsidRDefault="00976F18" w:rsidP="00844D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</w:t>
            </w:r>
          </w:p>
          <w:p w14:paraId="56BBD9F0" w14:textId="77777777" w:rsidR="004A2064" w:rsidRPr="006A2EB7" w:rsidRDefault="00976F18" w:rsidP="00976F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omisjoni delegeeritud määrus (EL) 2024/2620, millega täiendatakse direktiivi 2003/87/EÜ seoses nõuetega, mille kohaselt tuleb lugeda kasvuhoonegaasid tootes püsivalt keemiliselt seotuks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7570737" w14:textId="28C633BE" w:rsidR="00976F18" w:rsidRPr="006A2EB7" w:rsidRDefault="00976F18" w:rsidP="00976F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BC9CAD" w14:textId="007917EE" w:rsidR="001A1B92" w:rsidRPr="006A2EB7" w:rsidRDefault="00976F18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T-673/24: 27. detsembril 2024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Imerys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PCC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France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7ED36E90" w14:textId="77777777" w:rsidR="001A1B92" w:rsidRPr="006A2EB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4582BA" w14:textId="2E4271EF" w:rsidR="001A1B92" w:rsidRPr="006A2EB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44DEF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976F18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438</w:t>
            </w:r>
          </w:p>
        </w:tc>
      </w:tr>
      <w:tr w:rsidR="001A1B92" w:rsidRPr="006A2EB7" w14:paraId="58CF1EB8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02573E" w14:textId="02A19C40" w:rsidR="008904B8" w:rsidRPr="006A2EB7" w:rsidRDefault="006F6C43" w:rsidP="008904B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1958CAB9" w14:textId="11C28875" w:rsidR="004A2064" w:rsidRPr="006A2EB7" w:rsidRDefault="006F6C43" w:rsidP="006F6C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Toetuslepingute rikkumine, k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ohust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us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tagasi maksma ja sisse nõud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 kulud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mis on deklareeritud seitsmenda raamprogrammi (7PM) raames projektides SMARTPIF, NANOFOOT ja DEMOULTRAGRIP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määrus (EÜ, Euratom) nr 2988/95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376BCB0D" w14:textId="18E80D74" w:rsidR="006F6C43" w:rsidRPr="006A2EB7" w:rsidRDefault="006F6C43" w:rsidP="006F6C4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598917" w14:textId="54058A84" w:rsidR="001A1B92" w:rsidRPr="006A2EB7" w:rsidRDefault="006F6C43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T-681/24: 27. detsembril 2024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Inescop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komisjon</w:t>
              </w:r>
            </w:hyperlink>
          </w:p>
          <w:p w14:paraId="2EED0941" w14:textId="77777777" w:rsidR="001A1B92" w:rsidRPr="006A2EB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688CA8B" w14:textId="551B47AE" w:rsidR="001A1B92" w:rsidRPr="006A2EB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904B8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6F6C43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439</w:t>
            </w:r>
          </w:p>
        </w:tc>
      </w:tr>
      <w:bookmarkEnd w:id="0"/>
      <w:tr w:rsidR="001A1B92" w:rsidRPr="006A2EB7" w14:paraId="6EDCE019" w14:textId="77777777" w:rsidTr="00F56367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6D95BE6" w14:textId="134AE5D6" w:rsidR="00317D19" w:rsidRPr="006A2EB7" w:rsidRDefault="0056493C" w:rsidP="00317D1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RAM</w:t>
            </w:r>
            <w:r w:rsidR="0031604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KLIM</w:t>
            </w:r>
          </w:p>
          <w:p w14:paraId="4EC8D06E" w14:textId="77777777" w:rsidR="00AD123F" w:rsidRPr="006A2EB7" w:rsidRDefault="00F85E99" w:rsidP="00F85E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O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tsus (EL) riigiabi asjades SA.57543 – Taani – </w:t>
            </w:r>
            <w:r w:rsidRPr="006A2EB7"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  <w:t xml:space="preserve">COVID-19 </w:t>
            </w:r>
            <w:proofErr w:type="spellStart"/>
            <w:r w:rsidRPr="006A2EB7"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  <w:t>recapitalisation</w:t>
            </w:r>
            <w:proofErr w:type="spellEnd"/>
            <w:r w:rsidRPr="006A2EB7"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  <w:t xml:space="preserve"> of SAS 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ja SA.58342 – </w:t>
            </w:r>
            <w:proofErr w:type="spellStart"/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Sweden</w:t>
            </w:r>
            <w:proofErr w:type="spellEnd"/>
            <w:r w:rsidRPr="006A2EB7"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  <w:t xml:space="preserve"> – COVID-19 </w:t>
            </w:r>
            <w:proofErr w:type="spellStart"/>
            <w:r w:rsidRPr="006A2EB7"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  <w:t>recapitalisation</w:t>
            </w:r>
            <w:proofErr w:type="spellEnd"/>
            <w:r w:rsidRPr="006A2EB7"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  <w:t xml:space="preserve"> of SAS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623381A9" w14:textId="2EB41CFD" w:rsidR="00F85E99" w:rsidRPr="006A2EB7" w:rsidRDefault="00F85E99" w:rsidP="00F85E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021698" w14:textId="7C1470BB" w:rsidR="001A1B92" w:rsidRPr="006A2EB7" w:rsidRDefault="00F85E99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7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T-687/24: 27. detsembril 2024 esitatud hagi – Ryanair versus komisjon</w:t>
              </w:r>
            </w:hyperlink>
          </w:p>
          <w:p w14:paraId="0429BC22" w14:textId="77777777" w:rsidR="001A1B92" w:rsidRPr="006A2EB7" w:rsidRDefault="001A1B92" w:rsidP="001A1B9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232204" w14:textId="06399F99" w:rsidR="001A1B92" w:rsidRPr="006A2EB7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8904B8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F85E99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442</w:t>
            </w:r>
          </w:p>
        </w:tc>
      </w:tr>
      <w:tr w:rsidR="00F9664B" w:rsidRPr="006A2EB7" w14:paraId="4F68AE55" w14:textId="77777777" w:rsidTr="00425B8D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C66803E" w14:textId="0F4C6613" w:rsidR="0056493C" w:rsidRPr="006A2EB7" w:rsidRDefault="00F85E99" w:rsidP="0056493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830A432" w14:textId="1F5D76A5" w:rsidR="0056493C" w:rsidRPr="006A2EB7" w:rsidRDefault="00F85E99" w:rsidP="00F85E9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17FD3D" w14:textId="546F9C45" w:rsidR="00F9664B" w:rsidRPr="006A2EB7" w:rsidRDefault="00F85E99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T-3/25: 2. jaanuaril 2025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Zündapp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Longines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(Horisontaalsete ribadega stiliseeritud kilbi kujutis)</w:t>
              </w:r>
            </w:hyperlink>
          </w:p>
          <w:p w14:paraId="6C5AD64A" w14:textId="77777777" w:rsidR="00F9664B" w:rsidRPr="006A2EB7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DBB982" w14:textId="2B27F510" w:rsidR="00F9664B" w:rsidRPr="006A2EB7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AD123F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F85E99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443</w:t>
            </w:r>
          </w:p>
        </w:tc>
      </w:tr>
      <w:tr w:rsidR="00F9664B" w:rsidRPr="006A2EB7" w14:paraId="539AFD58" w14:textId="77777777" w:rsidTr="00425B8D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99BF176" w14:textId="77777777" w:rsidR="00850446" w:rsidRPr="006A2EB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1" w:name="_Hlk192509976"/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557EB0CF" w14:textId="7E8B297C" w:rsidR="00021BB1" w:rsidRPr="006A2EB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AD123F" w:rsidRPr="006A2EB7" w14:paraId="020308F5" w14:textId="77777777" w:rsidTr="00AD123F">
              <w:tc>
                <w:tcPr>
                  <w:tcW w:w="0" w:type="auto"/>
                  <w:shd w:val="clear" w:color="auto" w:fill="FFFFFF"/>
                  <w:hideMark/>
                </w:tcPr>
                <w:p w14:paraId="5E51C518" w14:textId="57A3346D" w:rsidR="00C06E77" w:rsidRPr="006A2EB7" w:rsidRDefault="00C06E77" w:rsidP="0056493C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51A6421C" w14:textId="77777777" w:rsidR="00F9664B" w:rsidRPr="006A2EB7" w:rsidRDefault="00F9664B" w:rsidP="00AD12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431C1D" w14:textId="6B730ABD" w:rsidR="00F9664B" w:rsidRPr="006A2EB7" w:rsidRDefault="00850446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T-24/25: 20. jaanuaril 2025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Les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Éditions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Albert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René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 EUIPO – Works 11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Michał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Lubiński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Obelix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139A6C9D" w14:textId="77777777" w:rsidR="00F9664B" w:rsidRPr="006A2EB7" w:rsidRDefault="00F9664B" w:rsidP="00425B8D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45820D" w14:textId="077A2A0E" w:rsidR="00F9664B" w:rsidRPr="006A2EB7" w:rsidRDefault="00F9664B" w:rsidP="00425B8D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</w:t>
            </w:r>
            <w:r w:rsidR="00AD123F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850446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448</w:t>
            </w:r>
          </w:p>
        </w:tc>
      </w:tr>
      <w:tr w:rsidR="00C06E77" w:rsidRPr="006A2EB7" w14:paraId="6C52CFF0" w14:textId="77777777" w:rsidTr="0073439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9C5FA9" w14:textId="77777777" w:rsidR="00850446" w:rsidRPr="006A2EB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2B0E9004" w14:textId="77777777" w:rsidR="00850446" w:rsidRPr="006A2EB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BB595FF" w14:textId="3ABA997D" w:rsidR="00902169" w:rsidRPr="006A2EB7" w:rsidRDefault="00902169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048305A" w14:textId="7AAB772D" w:rsidR="00C06E77" w:rsidRPr="007D383D" w:rsidRDefault="007D383D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0" w:history="1">
              <w:r w:rsidR="00850446" w:rsidRPr="007D383D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Kohtuasi T-33/25: 22. jaanuaril 2025 esitatud hagi – Quality </w:t>
              </w:r>
              <w:proofErr w:type="spellStart"/>
              <w:r w:rsidR="00850446" w:rsidRPr="007D383D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>First</w:t>
              </w:r>
              <w:proofErr w:type="spellEnd"/>
              <w:r w:rsidR="00850446" w:rsidRPr="007D383D">
                <w:rPr>
                  <w:rStyle w:val="Hyperlink"/>
                  <w:color w:val="1F497D" w:themeColor="text2"/>
                  <w:sz w:val="24"/>
                  <w:szCs w:val="24"/>
                  <w:shd w:val="clear" w:color="auto" w:fill="FFFFFF"/>
                </w:rPr>
                <w:t xml:space="preserve"> versus EUIPO (CRAVE NO MORE)</w:t>
              </w:r>
            </w:hyperlink>
          </w:p>
          <w:p w14:paraId="4C73C8EE" w14:textId="77777777" w:rsidR="00C06E77" w:rsidRPr="006A2EB7" w:rsidRDefault="00C06E77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F0434E" w14:textId="6F17061A" w:rsidR="00C06E77" w:rsidRPr="006A2EB7" w:rsidRDefault="00C06E77" w:rsidP="0073439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850446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449</w:t>
            </w:r>
          </w:p>
        </w:tc>
      </w:tr>
      <w:tr w:rsidR="00C06E77" w:rsidRPr="006A2EB7" w14:paraId="19EA96AD" w14:textId="77777777" w:rsidTr="0073439E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206549" w14:textId="77777777" w:rsidR="00850446" w:rsidRPr="006A2EB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bookmarkStart w:id="2" w:name="_Hlk191907594"/>
            <w:bookmarkEnd w:id="1"/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MKM, RAM</w:t>
            </w:r>
          </w:p>
          <w:p w14:paraId="2BDA6375" w14:textId="0371AA1D" w:rsidR="00850446" w:rsidRPr="006A2EB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Lõplik tasakaalustav tollimaks Hiina Rahvavabariigist pärit, reisijateveoks ettenähtud, akutoitega uute elektrisõidukite impordi suhtes, rakendusmäärus (EL) 2024/2754,</w:t>
            </w:r>
            <w:r w:rsidR="006506DA">
              <w:t xml:space="preserve"> </w:t>
            </w:r>
            <w:r w:rsidR="006506DA" w:rsidRPr="006506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kaitse subsideeritud impordi eest riikidest, mis ei ole Euroopa Liidu liikmed</w:t>
            </w:r>
            <w:r w:rsidR="006506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tühistamishagi.</w:t>
            </w:r>
          </w:p>
          <w:p w14:paraId="713DBAD7" w14:textId="521BDB4A" w:rsidR="00850446" w:rsidRPr="006A2EB7" w:rsidRDefault="00850446" w:rsidP="0085044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35C091" w14:textId="1110CBB4" w:rsidR="00C06E77" w:rsidRPr="006A2EB7" w:rsidRDefault="00850446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21" w:history="1">
              <w:r w:rsidRPr="006A2EB7">
                <w:rPr>
                  <w:rFonts w:ascii="Times New Roman" w:hAnsi="Times New Roman" w:cs="Times New Roman"/>
                  <w:color w:val="1F497D" w:themeColor="text2"/>
                  <w:sz w:val="24"/>
                  <w:szCs w:val="24"/>
                  <w:u w:val="single"/>
                  <w:shd w:val="clear" w:color="auto" w:fill="FFFFFF"/>
                </w:rPr>
                <w:t>Kohtuasi T-37/25: 22. jaanuaril 2025 esitatud hagi – CCCME jt versus komisjon</w:t>
              </w:r>
            </w:hyperlink>
          </w:p>
          <w:p w14:paraId="71295B41" w14:textId="77777777" w:rsidR="00C06E77" w:rsidRPr="006A2EB7" w:rsidRDefault="00C06E77" w:rsidP="0073439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A9ED1FC" w14:textId="642E7BD2" w:rsidR="00C06E77" w:rsidRPr="006A2EB7" w:rsidRDefault="00C06E77" w:rsidP="0073439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850446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450</w:t>
            </w:r>
          </w:p>
        </w:tc>
      </w:tr>
      <w:bookmarkEnd w:id="2"/>
      <w:tr w:rsidR="000F2B72" w:rsidRPr="006A2EB7" w14:paraId="75E06C3E" w14:textId="77777777" w:rsidTr="007D0AB5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9BC8FF" w14:textId="77777777" w:rsidR="000F2B72" w:rsidRPr="006A2EB7" w:rsidRDefault="000F2B72" w:rsidP="007D0AB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MKM, RAM</w:t>
            </w:r>
          </w:p>
          <w:p w14:paraId="727A8D50" w14:textId="6FF59898" w:rsidR="000F2B72" w:rsidRPr="006A2EB7" w:rsidRDefault="000F2B72" w:rsidP="007D0AB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Lõplik tasakaalustav tollimaks Hiina Rahvavabariigist pärit, reisijateveoks ettenähtud, akutoitega uute elektrisõidukite impordi suhtes, rakendusmäärus (EL) 2024/2754, </w:t>
            </w:r>
            <w:r w:rsidR="006506DA" w:rsidRPr="006506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kaitse subsideeritud impordi eest riikidest, mis ei ole Euroopa Liidu liikmed</w:t>
            </w:r>
            <w:r w:rsidR="006506DA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  <w:p w14:paraId="628C3C7B" w14:textId="77777777" w:rsidR="000F2B72" w:rsidRPr="006A2EB7" w:rsidRDefault="000F2B72" w:rsidP="007D0AB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F935CB" w14:textId="4618DA70" w:rsidR="000F2B72" w:rsidRPr="006A2EB7" w:rsidRDefault="008D4C6D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T-38/25: 22. jaanuaril 2025 esitatud hagi – Tesla (Shanghai) versus komisjon</w:t>
              </w:r>
            </w:hyperlink>
          </w:p>
          <w:p w14:paraId="4B9170EE" w14:textId="77777777" w:rsidR="000F2B72" w:rsidRPr="006A2EB7" w:rsidRDefault="000F2B72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5A63F8B" w14:textId="31F8B860" w:rsidR="000F2B72" w:rsidRPr="006A2EB7" w:rsidRDefault="000F2B72" w:rsidP="007D0AB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8D4C6D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</w:t>
            </w:r>
            <w:r w:rsidR="005F0333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F2B72" w:rsidRPr="006A2EB7" w14:paraId="376843B7" w14:textId="77777777" w:rsidTr="007D0AB5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44CB51" w14:textId="77777777" w:rsidR="008D4C6D" w:rsidRPr="006A2EB7" w:rsidRDefault="008D4C6D" w:rsidP="008D4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75388437" w14:textId="77777777" w:rsidR="008D4C6D" w:rsidRPr="006A2EB7" w:rsidRDefault="008D4C6D" w:rsidP="008D4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36F0D33B" w14:textId="77777777" w:rsidR="000F2B72" w:rsidRPr="006A2EB7" w:rsidRDefault="000F2B72" w:rsidP="008D4C6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E44BFC" w14:textId="3AAC8C69" w:rsidR="000F2B72" w:rsidRPr="006A2EB7" w:rsidRDefault="008D4C6D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T-44/25: 23. jaanuaril 2025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Wyrębski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Gagatek-Woźniak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(BLUE BRAND CHICKEN)</w:t>
              </w:r>
            </w:hyperlink>
          </w:p>
          <w:p w14:paraId="0443DC51" w14:textId="77777777" w:rsidR="000F2B72" w:rsidRPr="006A2EB7" w:rsidRDefault="000F2B72" w:rsidP="007D0AB5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A67B3C4" w14:textId="1F556D59" w:rsidR="000F2B72" w:rsidRPr="006A2EB7" w:rsidRDefault="000F2B72" w:rsidP="007D0AB5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</w:t>
            </w:r>
            <w:r w:rsidR="008D4C6D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45</w:t>
            </w:r>
            <w:r w:rsidR="005F0333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5307C" w:rsidRPr="006A2EB7" w14:paraId="2053E0D0" w14:textId="77777777" w:rsidTr="00C75E3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9E2005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503F5168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75307C" w:rsidRPr="006A2EB7" w14:paraId="5E92F91E" w14:textId="77777777" w:rsidTr="00C75E3F">
              <w:tc>
                <w:tcPr>
                  <w:tcW w:w="0" w:type="auto"/>
                  <w:shd w:val="clear" w:color="auto" w:fill="FFFFFF"/>
                  <w:hideMark/>
                </w:tcPr>
                <w:p w14:paraId="2822EAB5" w14:textId="77777777" w:rsidR="0075307C" w:rsidRPr="006A2EB7" w:rsidRDefault="0075307C" w:rsidP="00C75E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476BEC29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4FA8D4" w14:textId="077B5353" w:rsidR="0075307C" w:rsidRPr="006A2EB7" w:rsidRDefault="005F0333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T-45/25: 23. jaanuaril 2025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Wyrębski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Gagatek-Woźniak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(RED BRAND CHICKEN)</w:t>
              </w:r>
            </w:hyperlink>
          </w:p>
          <w:p w14:paraId="150C8EE1" w14:textId="77777777" w:rsidR="0075307C" w:rsidRPr="006A2EB7" w:rsidRDefault="0075307C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DD21A9E" w14:textId="7C2DF8B4" w:rsidR="0075307C" w:rsidRPr="006A2EB7" w:rsidRDefault="0075307C" w:rsidP="00C75E3F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C/2025/14</w:t>
            </w:r>
            <w:r w:rsidR="005F0333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75307C" w:rsidRPr="006A2EB7" w14:paraId="3EDFDDE2" w14:textId="77777777" w:rsidTr="00C75E3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E454FE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E9D6E69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28A19FB1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78125B" w14:textId="74C797C9" w:rsidR="0075307C" w:rsidRPr="006A2EB7" w:rsidRDefault="005F0333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T-46/25: 24. jaanuaril 2025 esitatud hagi – Land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Oberösterreich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Norma (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Genussländer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28650AB9" w14:textId="77777777" w:rsidR="0075307C" w:rsidRPr="006A2EB7" w:rsidRDefault="0075307C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75910A1" w14:textId="0A5932A3" w:rsidR="0075307C" w:rsidRPr="006A2EB7" w:rsidRDefault="0075307C" w:rsidP="00C75E3F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C/2025/14</w:t>
            </w:r>
            <w:r w:rsidR="005F0333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54</w:t>
            </w:r>
          </w:p>
        </w:tc>
      </w:tr>
      <w:tr w:rsidR="0075307C" w:rsidRPr="006A2EB7" w14:paraId="4440920D" w14:textId="77777777" w:rsidTr="00C75E3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50086F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JDM</w:t>
            </w:r>
          </w:p>
          <w:p w14:paraId="7260624A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75307C" w:rsidRPr="006A2EB7" w14:paraId="15EBDCA9" w14:textId="77777777" w:rsidTr="00C75E3F">
              <w:tc>
                <w:tcPr>
                  <w:tcW w:w="0" w:type="auto"/>
                  <w:shd w:val="clear" w:color="auto" w:fill="FFFFFF"/>
                  <w:hideMark/>
                </w:tcPr>
                <w:p w14:paraId="76A79429" w14:textId="77777777" w:rsidR="0075307C" w:rsidRPr="006A2EB7" w:rsidRDefault="0075307C" w:rsidP="00C75E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147D0B4D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C273C87" w14:textId="5E958FBF" w:rsidR="0075307C" w:rsidRPr="006A2EB7" w:rsidRDefault="005F0333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T-48/25: 23. jaanuaril 2025 esitatud hagi – NFL Properties Europe versus EUIPO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Treets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(SUPER BOWL)</w:t>
              </w:r>
            </w:hyperlink>
          </w:p>
          <w:p w14:paraId="2849B952" w14:textId="77777777" w:rsidR="0075307C" w:rsidRPr="006A2EB7" w:rsidRDefault="0075307C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57540F" w14:textId="6B43D130" w:rsidR="0075307C" w:rsidRPr="006A2EB7" w:rsidRDefault="0075307C" w:rsidP="00C75E3F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C/2025/14</w:t>
            </w:r>
            <w:r w:rsidR="005F0333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55</w:t>
            </w:r>
          </w:p>
        </w:tc>
      </w:tr>
      <w:tr w:rsidR="0075307C" w:rsidRPr="006A2EB7" w14:paraId="6E386F61" w14:textId="77777777" w:rsidTr="00C75E3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2FC4F3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4FA3A260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53991FB4" w14:textId="77777777" w:rsidR="0075307C" w:rsidRPr="006A2EB7" w:rsidRDefault="0075307C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622CA2" w14:textId="392FF30E" w:rsidR="0075307C" w:rsidRPr="006A2EB7" w:rsidRDefault="006625C0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T-49/25: 24. jaanuaril 2025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Mute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mute-labs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mute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labs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35572070" w14:textId="77777777" w:rsidR="0075307C" w:rsidRPr="006A2EB7" w:rsidRDefault="0075307C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843D81" w14:textId="6F0718A8" w:rsidR="0075307C" w:rsidRPr="006A2EB7" w:rsidRDefault="0075307C" w:rsidP="00C75E3F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C/2025/14</w:t>
            </w:r>
            <w:r w:rsidR="006625C0"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56</w:t>
            </w:r>
          </w:p>
        </w:tc>
      </w:tr>
      <w:tr w:rsidR="006625C0" w:rsidRPr="006A2EB7" w14:paraId="6393AFEA" w14:textId="77777777" w:rsidTr="00C75E3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56F028D" w14:textId="77777777" w:rsidR="006625C0" w:rsidRPr="006A2EB7" w:rsidRDefault="006625C0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EC1D1C2" w14:textId="77777777" w:rsidR="006625C0" w:rsidRPr="006A2EB7" w:rsidRDefault="006625C0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6625C0" w:rsidRPr="006A2EB7" w14:paraId="30E0F2A3" w14:textId="77777777" w:rsidTr="00C75E3F">
              <w:tc>
                <w:tcPr>
                  <w:tcW w:w="0" w:type="auto"/>
                  <w:shd w:val="clear" w:color="auto" w:fill="FFFFFF"/>
                  <w:hideMark/>
                </w:tcPr>
                <w:p w14:paraId="1C98E6F4" w14:textId="77777777" w:rsidR="006625C0" w:rsidRPr="006A2EB7" w:rsidRDefault="006625C0" w:rsidP="00C75E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40C92271" w14:textId="77777777" w:rsidR="006625C0" w:rsidRPr="006A2EB7" w:rsidRDefault="006625C0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F3B30F9" w14:textId="29499B9B" w:rsidR="006625C0" w:rsidRPr="006A2EB7" w:rsidRDefault="006625C0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T-55/25: 26. jaanuaril 2025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Weight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Doctors versus EUIPO (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Endo-Sleeve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1CD2BE30" w14:textId="77777777" w:rsidR="006625C0" w:rsidRPr="006A2EB7" w:rsidRDefault="006625C0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BD7097C" w14:textId="58F64F28" w:rsidR="006625C0" w:rsidRPr="006A2EB7" w:rsidRDefault="006625C0" w:rsidP="00C75E3F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C/2025/14</w:t>
            </w: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58</w:t>
            </w:r>
          </w:p>
        </w:tc>
      </w:tr>
      <w:tr w:rsidR="006625C0" w:rsidRPr="006A2EB7" w14:paraId="5BD22F1A" w14:textId="77777777" w:rsidTr="00C75E3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3D083FE" w14:textId="77777777" w:rsidR="006625C0" w:rsidRPr="006A2EB7" w:rsidRDefault="006625C0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JDM</w:t>
            </w:r>
          </w:p>
          <w:p w14:paraId="616474E6" w14:textId="77777777" w:rsidR="006625C0" w:rsidRPr="006A2EB7" w:rsidRDefault="006625C0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  <w:p w14:paraId="65E57C49" w14:textId="77777777" w:rsidR="006625C0" w:rsidRPr="006A2EB7" w:rsidRDefault="006625C0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DDE977" w14:textId="05ADC0B1" w:rsidR="006625C0" w:rsidRPr="006A2EB7" w:rsidRDefault="006625C0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T-56/25: 27. jaanuaril 2025 esitatud hagi –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Rose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Bikes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 (ROSE)</w:t>
              </w:r>
            </w:hyperlink>
          </w:p>
          <w:p w14:paraId="6F52581D" w14:textId="77777777" w:rsidR="006625C0" w:rsidRPr="006A2EB7" w:rsidRDefault="006625C0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0B413A" w14:textId="03171C16" w:rsidR="006625C0" w:rsidRPr="006A2EB7" w:rsidRDefault="006625C0" w:rsidP="00C75E3F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C/2025/14</w:t>
            </w: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59</w:t>
            </w:r>
          </w:p>
        </w:tc>
      </w:tr>
      <w:tr w:rsidR="006625C0" w:rsidRPr="006A2EB7" w14:paraId="4B3C373B" w14:textId="77777777" w:rsidTr="00C75E3F"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965DAE7" w14:textId="5D665A5B" w:rsidR="006625C0" w:rsidRPr="006A2EB7" w:rsidRDefault="00F91A30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REM</w:t>
            </w:r>
          </w:p>
          <w:p w14:paraId="438B9D52" w14:textId="36CAC05E" w:rsidR="006625C0" w:rsidRPr="006A2EB7" w:rsidRDefault="00F91A30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Euroopa Kemikaaliameti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otsus</w:t>
            </w:r>
            <w:r w:rsidR="006625C0"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määrus (EL) nr 528/2012 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(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biotsiidide turul kättesaadavaks tegemi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ne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ja kasutami</w:t>
            </w:r>
            <w:r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ne, </w:t>
            </w:r>
            <w:r w:rsidR="006625C0" w:rsidRPr="006A2EB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tühistamishagi.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</w:tblGrid>
            <w:tr w:rsidR="006625C0" w:rsidRPr="006A2EB7" w14:paraId="6AE66657" w14:textId="77777777" w:rsidTr="00C75E3F">
              <w:tc>
                <w:tcPr>
                  <w:tcW w:w="0" w:type="auto"/>
                  <w:shd w:val="clear" w:color="auto" w:fill="FFFFFF"/>
                  <w:hideMark/>
                </w:tcPr>
                <w:p w14:paraId="5E1F1E9D" w14:textId="77777777" w:rsidR="006625C0" w:rsidRPr="006A2EB7" w:rsidRDefault="006625C0" w:rsidP="00C75E3F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 w:cs="Times New Roman"/>
                      <w:color w:val="444444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23F11ABB" w14:textId="77777777" w:rsidR="006625C0" w:rsidRPr="006A2EB7" w:rsidRDefault="006625C0" w:rsidP="00C75E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9B4CF9" w14:textId="5C400C8C" w:rsidR="006625C0" w:rsidRPr="006A2EB7" w:rsidRDefault="006625C0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T-61/25: 28. jaanuaril 2025 esitatud hagi – Sumitomo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Chemical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Agro</w:t>
              </w:r>
              <w:proofErr w:type="spellEnd"/>
              <w:r w:rsidRPr="006A2EB7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Europe versus ECHA</w:t>
              </w:r>
            </w:hyperlink>
          </w:p>
          <w:p w14:paraId="27E4F2E1" w14:textId="77777777" w:rsidR="006625C0" w:rsidRPr="006A2EB7" w:rsidRDefault="006625C0" w:rsidP="00C75E3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46767C" w14:textId="32A19F81" w:rsidR="006625C0" w:rsidRPr="006A2EB7" w:rsidRDefault="006625C0" w:rsidP="00C75E3F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C/2025/14</w:t>
            </w:r>
            <w:r w:rsidRPr="006A2E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14:paraId="2B551D8B" w14:textId="6E7A9F32" w:rsidR="00AF24CC" w:rsidRPr="006A2EB7" w:rsidRDefault="00AF24CC" w:rsidP="004814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6A2EB7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E53"/>
    <w:rsid w:val="001A3F17"/>
    <w:rsid w:val="001A3FE0"/>
    <w:rsid w:val="001A5E8A"/>
    <w:rsid w:val="001A6615"/>
    <w:rsid w:val="001A6BFA"/>
    <w:rsid w:val="001A7BBB"/>
    <w:rsid w:val="001A7E77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D16"/>
    <w:rsid w:val="0025222C"/>
    <w:rsid w:val="00252380"/>
    <w:rsid w:val="00252949"/>
    <w:rsid w:val="00252AA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E00C3"/>
    <w:rsid w:val="002E1581"/>
    <w:rsid w:val="002E15DE"/>
    <w:rsid w:val="002E1836"/>
    <w:rsid w:val="002E1EC1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8A5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11F0"/>
    <w:rsid w:val="005B222F"/>
    <w:rsid w:val="005B230C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EB7"/>
    <w:rsid w:val="006A3999"/>
    <w:rsid w:val="006A430D"/>
    <w:rsid w:val="006A5A5A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FA2"/>
    <w:rsid w:val="008011A0"/>
    <w:rsid w:val="0080152B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26C2"/>
    <w:rsid w:val="00952DC2"/>
    <w:rsid w:val="00953099"/>
    <w:rsid w:val="009531A5"/>
    <w:rsid w:val="00953764"/>
    <w:rsid w:val="0095376F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E0A2E"/>
    <w:rsid w:val="00AE1919"/>
    <w:rsid w:val="00AE19F3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739"/>
    <w:rsid w:val="00B53DA9"/>
    <w:rsid w:val="00B55588"/>
    <w:rsid w:val="00B559CB"/>
    <w:rsid w:val="00B55B4C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5B43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AC2"/>
    <w:rsid w:val="00B86BE7"/>
    <w:rsid w:val="00B87DCC"/>
    <w:rsid w:val="00B901F8"/>
    <w:rsid w:val="00B919B2"/>
    <w:rsid w:val="00B924C3"/>
    <w:rsid w:val="00B92CF2"/>
    <w:rsid w:val="00B93BCA"/>
    <w:rsid w:val="00B93D39"/>
    <w:rsid w:val="00B94210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307A"/>
    <w:rsid w:val="00D33857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7A9"/>
    <w:rsid w:val="00F930B8"/>
    <w:rsid w:val="00F93C5D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0C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1413" TargetMode="External"/><Relationship Id="rId13" Type="http://schemas.openxmlformats.org/officeDocument/2006/relationships/hyperlink" Target="https://eur-lex.europa.eu/legal-content/ET/TXT/?uri=OJ:C_202501436" TargetMode="External"/><Relationship Id="rId18" Type="http://schemas.openxmlformats.org/officeDocument/2006/relationships/hyperlink" Target="https://eur-lex.europa.eu/legal-content/ET/TXT/?uri=OJ:C_202501443" TargetMode="External"/><Relationship Id="rId26" Type="http://schemas.openxmlformats.org/officeDocument/2006/relationships/hyperlink" Target="https://eur-lex.europa.eu/legal-content/ET/TXT/?uri=OJ:C_2025014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1450" TargetMode="External"/><Relationship Id="rId7" Type="http://schemas.openxmlformats.org/officeDocument/2006/relationships/hyperlink" Target="https://eur-lex.europa.eu/legal-content/ET/TXT/?uri=OJ:C_202501412" TargetMode="External"/><Relationship Id="rId12" Type="http://schemas.openxmlformats.org/officeDocument/2006/relationships/hyperlink" Target="https://eur-lex.europa.eu/legal-content/ET/TXT/?uri=OJ:C_202501434" TargetMode="External"/><Relationship Id="rId17" Type="http://schemas.openxmlformats.org/officeDocument/2006/relationships/hyperlink" Target="https://eur-lex.europa.eu/legal-content/ET/TXT/?uri=OJ:C_202501442" TargetMode="External"/><Relationship Id="rId25" Type="http://schemas.openxmlformats.org/officeDocument/2006/relationships/hyperlink" Target="https://eur-lex.europa.eu/legal-content/ET/TXT/?uri=OJ:C_2025014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1439" TargetMode="External"/><Relationship Id="rId20" Type="http://schemas.openxmlformats.org/officeDocument/2006/relationships/hyperlink" Target="https://eur-lex.europa.eu/legal-content/ET/TXT/?uri=OJ:C_202501449" TargetMode="External"/><Relationship Id="rId29" Type="http://schemas.openxmlformats.org/officeDocument/2006/relationships/hyperlink" Target="https://eur-lex.europa.eu/legal-content/ET/TXT/?uri=OJ:C_20250145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1411" TargetMode="External"/><Relationship Id="rId11" Type="http://schemas.openxmlformats.org/officeDocument/2006/relationships/hyperlink" Target="https://eur-lex.europa.eu/legal-content/ET/TXT/?uri=OJ:C_202501416" TargetMode="External"/><Relationship Id="rId24" Type="http://schemas.openxmlformats.org/officeDocument/2006/relationships/hyperlink" Target="https://eur-lex.europa.eu/legal-content/ET/TXT/?uri=OJ:C_202501453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1438" TargetMode="External"/><Relationship Id="rId23" Type="http://schemas.openxmlformats.org/officeDocument/2006/relationships/hyperlink" Target="https://eur-lex.europa.eu/legal-content/ET/TXT/?uri=OJ:C_202501452" TargetMode="External"/><Relationship Id="rId28" Type="http://schemas.openxmlformats.org/officeDocument/2006/relationships/hyperlink" Target="https://eur-lex.europa.eu/legal-content/ET/TXT/?uri=OJ:C_202501458" TargetMode="External"/><Relationship Id="rId10" Type="http://schemas.openxmlformats.org/officeDocument/2006/relationships/hyperlink" Target="https://eur-lex.europa.eu/legal-content/ET/TXT/?uri=OJ:C_202501415" TargetMode="External"/><Relationship Id="rId19" Type="http://schemas.openxmlformats.org/officeDocument/2006/relationships/hyperlink" Target="https://eur-lex.europa.eu/legal-content/ET/TXT/?uri=OJ:C_20250144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1414" TargetMode="External"/><Relationship Id="rId14" Type="http://schemas.openxmlformats.org/officeDocument/2006/relationships/hyperlink" Target="https://eur-lex.europa.eu/legal-content/ET/TXT/?uri=OJ:C_202501437" TargetMode="External"/><Relationship Id="rId22" Type="http://schemas.openxmlformats.org/officeDocument/2006/relationships/hyperlink" Target="https://eur-lex.europa.eu/legal-content/ET/TXT/?uri=OJ:C_202501451" TargetMode="External"/><Relationship Id="rId27" Type="http://schemas.openxmlformats.org/officeDocument/2006/relationships/hyperlink" Target="https://eur-lex.europa.eu/legal-content/ET/TXT/?uri=OJ:C_202501456" TargetMode="External"/><Relationship Id="rId30" Type="http://schemas.openxmlformats.org/officeDocument/2006/relationships/hyperlink" Target="https://eur-lex.europa.eu/legal-content/ET/TXT/?uri=OJ:C_202501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1381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46</cp:revision>
  <cp:lastPrinted>2018-01-31T14:27:00Z</cp:lastPrinted>
  <dcterms:created xsi:type="dcterms:W3CDTF">2025-02-17T14:09:00Z</dcterms:created>
  <dcterms:modified xsi:type="dcterms:W3CDTF">2025-03-10T13:01:00Z</dcterms:modified>
</cp:coreProperties>
</file>